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both"/>
        <w:outlineLvl w:val="1"/>
        <w:rPr>
          <w:rFonts w:ascii="黑体" w:hAnsi="黑体" w:eastAsia="黑体" w:cs="黑体"/>
          <w:sz w:val="32"/>
          <w:szCs w:val="32"/>
        </w:rPr>
      </w:pPr>
      <w:r>
        <w:rPr>
          <w:rFonts w:hint="eastAsia" w:ascii="黑体" w:hAnsi="黑体" w:eastAsia="黑体" w:cs="黑体"/>
          <w:sz w:val="32"/>
          <w:szCs w:val="32"/>
          <w:lang w:eastAsia="zh-CN"/>
        </w:rPr>
        <w:t>附</w:t>
      </w:r>
      <w:r>
        <w:rPr>
          <w:rFonts w:hint="eastAsia" w:ascii="黑体" w:hAnsi="黑体" w:eastAsia="黑体" w:cs="黑体"/>
          <w:sz w:val="32"/>
          <w:szCs w:val="32"/>
        </w:rPr>
        <w:t>件2</w:t>
      </w:r>
    </w:p>
    <w:p>
      <w:pPr>
        <w:adjustRightInd/>
        <w:snapToGrid/>
        <w:spacing w:after="0" w:line="640" w:lineRule="exact"/>
        <w:jc w:val="center"/>
        <w:outlineLvl w:val="1"/>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河池市中医医院</w:t>
      </w:r>
    </w:p>
    <w:p>
      <w:pPr>
        <w:adjustRightInd/>
        <w:snapToGrid/>
        <w:spacing w:after="0" w:line="64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医疗电子票据管理平台采购项目需求参数</w:t>
      </w:r>
    </w:p>
    <w:tbl>
      <w:tblPr>
        <w:tblStyle w:val="2"/>
        <w:tblW w:w="9682" w:type="dxa"/>
        <w:tblInd w:w="-324" w:type="dxa"/>
        <w:tblLayout w:type="fixed"/>
        <w:tblCellMar>
          <w:top w:w="0" w:type="dxa"/>
          <w:left w:w="0" w:type="dxa"/>
          <w:bottom w:w="0" w:type="dxa"/>
          <w:right w:w="0" w:type="dxa"/>
        </w:tblCellMar>
      </w:tblPr>
      <w:tblGrid>
        <w:gridCol w:w="914"/>
        <w:gridCol w:w="1173"/>
        <w:gridCol w:w="968"/>
        <w:gridCol w:w="6627"/>
      </w:tblGrid>
      <w:tr>
        <w:tblPrEx>
          <w:tblCellMar>
            <w:top w:w="0" w:type="dxa"/>
            <w:left w:w="0" w:type="dxa"/>
            <w:bottom w:w="0" w:type="dxa"/>
            <w:right w:w="0" w:type="dxa"/>
          </w:tblCellMar>
        </w:tblPrEx>
        <w:trPr>
          <w:trHeight w:val="680" w:hRule="atLeast"/>
        </w:trPr>
        <w:tc>
          <w:tcPr>
            <w:tcW w:w="91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117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项目名称</w:t>
            </w:r>
          </w:p>
        </w:tc>
        <w:tc>
          <w:tcPr>
            <w:tcW w:w="968"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数量</w:t>
            </w:r>
          </w:p>
        </w:tc>
        <w:tc>
          <w:tcPr>
            <w:tcW w:w="6627"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tabs>
                <w:tab w:val="left" w:pos="3118"/>
              </w:tabs>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参数</w:t>
            </w:r>
          </w:p>
        </w:tc>
      </w:tr>
      <w:tr>
        <w:tblPrEx>
          <w:tblCellMar>
            <w:top w:w="0" w:type="dxa"/>
            <w:left w:w="0" w:type="dxa"/>
            <w:bottom w:w="0" w:type="dxa"/>
            <w:right w:w="0" w:type="dxa"/>
          </w:tblCellMar>
        </w:tblPrEx>
        <w:trPr>
          <w:trHeight w:val="680" w:hRule="atLeast"/>
        </w:trPr>
        <w:tc>
          <w:tcPr>
            <w:tcW w:w="91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p>
        </w:tc>
        <w:tc>
          <w:tcPr>
            <w:tcW w:w="117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医疗电子票据管理平台</w:t>
            </w:r>
          </w:p>
        </w:tc>
        <w:tc>
          <w:tcPr>
            <w:tcW w:w="968"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p>
        </w:tc>
        <w:tc>
          <w:tcPr>
            <w:tcW w:w="6627"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一、产品要求：</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1.投标人所提供的投标产品必须为具备厂家合法渠道的全新正品，投标产品必须完全满足</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文件要求提供的相关证书及报告等，</w:t>
            </w:r>
            <w:r>
              <w:rPr>
                <w:rFonts w:hint="eastAsia" w:ascii="仿宋_GB2312" w:hAnsi="仿宋_GB2312" w:eastAsia="仿宋_GB2312" w:cs="仿宋_GB2312"/>
                <w:sz w:val="32"/>
                <w:szCs w:val="32"/>
                <w:lang w:eastAsia="zh-CN"/>
              </w:rPr>
              <w:t>竞谈</w:t>
            </w:r>
            <w:r>
              <w:rPr>
                <w:rFonts w:hint="eastAsia" w:ascii="仿宋_GB2312" w:hAnsi="仿宋_GB2312" w:eastAsia="仿宋_GB2312" w:cs="仿宋_GB2312"/>
                <w:sz w:val="32"/>
                <w:szCs w:val="32"/>
              </w:rPr>
              <w:t>时提供相关证书复印件或扫描件。</w:t>
            </w:r>
          </w:p>
          <w:p>
            <w:pPr>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标注“★”号及“必须提供”的条款均为关键性参数或要求，投标人必须满足或优于该要求，否则投标无效。没标注“★”号其它参数为一般参数</w:t>
            </w:r>
            <w:r>
              <w:rPr>
                <w:rFonts w:hint="eastAsia" w:ascii="仿宋_GB2312" w:hAnsi="仿宋_GB2312" w:eastAsia="仿宋_GB2312" w:cs="仿宋_GB2312"/>
                <w:sz w:val="32"/>
                <w:szCs w:val="32"/>
                <w:lang w:eastAsia="zh-CN"/>
              </w:rPr>
              <w:t>。</w:t>
            </w:r>
          </w:p>
          <w:p>
            <w:pPr>
              <w:spacing w:after="0" w:line="560" w:lineRule="exact"/>
              <w:ind w:firstLine="320" w:firstLineChars="100"/>
              <w:jc w:val="both"/>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★3.系统平台提供电子票据标准数据调用接口并提供数据库结构及接口文档；实现符合与医院内部系统平台无缝对接及数据交互；实现符合与财政部门电子票据数据标准的互联互通。</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二、技术参数</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1.系统登录</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2.基础信息管理</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2.1初始设置</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2.2基础信息</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3. 医疗票据管理</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3.1开票管理、退票管理</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3.2票据存档</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3.3票据库查询</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3.4票据打印功能</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4. 医疗票据交付</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4.1院内应用交付</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4.2互联网渠道交付</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4.3取票小程序交付</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4.4满足各种支付插卡（微信、支付宝等）</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5. 医疗数据核对</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5.1单位收费核对总览</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5.2开票数据核对</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5.3业务票据核对</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6. 综合报表查询</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6.1票据领入情况表</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6.2票据分发情况表</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6.3票据领用存情况表</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6.4库存结余表（个人结余表、班组结余表、全院结余表）</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6.5医疗电子票据汇总表</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6.6交费渠道汇总表（微信、支付宝、现金、银联分类汇总和总类汇总）</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6.7医疗电子票据明细表</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6.8医疗纸质票据明细表</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6.9收费员票据使用情况表</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6.10医疗票据补录情况表</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7. 系统管理</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7.1用户管理</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7.2角色管理</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7.3授权管理</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7.3应用接入管理</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8. 系统上线时间</w:t>
            </w:r>
          </w:p>
          <w:p>
            <w:pPr>
              <w:tabs>
                <w:tab w:val="left" w:pos="3118"/>
              </w:tabs>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8.1从签订合同之日起30天内</w:t>
            </w:r>
          </w:p>
        </w:tc>
      </w:tr>
      <w:tr>
        <w:tblPrEx>
          <w:tblCellMar>
            <w:top w:w="0" w:type="dxa"/>
            <w:left w:w="0" w:type="dxa"/>
            <w:bottom w:w="0" w:type="dxa"/>
            <w:right w:w="0" w:type="dxa"/>
          </w:tblCellMar>
        </w:tblPrEx>
        <w:trPr>
          <w:trHeight w:val="680" w:hRule="atLeast"/>
        </w:trPr>
        <w:tc>
          <w:tcPr>
            <w:tcW w:w="914"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2</w:t>
            </w:r>
          </w:p>
        </w:tc>
        <w:tc>
          <w:tcPr>
            <w:tcW w:w="1173"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电子签名服务器</w:t>
            </w:r>
          </w:p>
        </w:tc>
        <w:tc>
          <w:tcPr>
            <w:tcW w:w="968"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line="56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p>
        </w:tc>
        <w:tc>
          <w:tcPr>
            <w:tcW w:w="6627" w:type="dxa"/>
            <w:tcBorders>
              <w:top w:val="single" w:color="000000" w:sz="4" w:space="0"/>
              <w:left w:val="single" w:color="000000" w:sz="4" w:space="0"/>
              <w:bottom w:val="single" w:color="000000" w:sz="4" w:space="0"/>
              <w:right w:val="single" w:color="000000" w:sz="4" w:space="0"/>
            </w:tcBorders>
            <w:tcMar>
              <w:left w:w="15" w:type="dxa"/>
              <w:right w:w="15" w:type="dxa"/>
            </w:tcMar>
            <w:vAlign w:val="center"/>
          </w:tcPr>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标准2U设备，双电源 400W-600W，4核8线程CPU *1，16G内存，1T硬盘，8G内存，网络接口：千兆电口*4；</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产品符合国家密码管理局GMT 0029-2014《签名验签服务器技术规范》和GMT 0060-2018《签名验签服务器检测规范》，符合财政部《财政信息系统应用安全接口标准》，支持国际通用算法和国产SM系列算法；</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支持身份认证、数据签名、签名验证、数据加解密等功能；</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无缝对接财政电子票据的签名服务器及财政部电子票据使用的CA数字证书；</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身份认证最大新建连接数&gt;150,身份认证最大并发连接数&gt;700</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支持客户端签名组件。</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RSA签名：12000次/秒</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RSA验签：20000次/秒</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RSA制作数字信封：18000次/秒</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RSA解密数字信封：10000次/秒</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SM2签名：7000次/秒</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SM2验签：7500次/秒</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SM2制作数字信封：3500次/秒</w:t>
            </w:r>
          </w:p>
          <w:p>
            <w:pPr>
              <w:spacing w:after="0" w:line="560" w:lineRule="exact"/>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SM2解密数字信封：4000次/秒</w:t>
            </w:r>
          </w:p>
        </w:tc>
      </w:tr>
      <w:tr>
        <w:tblPrEx>
          <w:tblCellMar>
            <w:top w:w="0" w:type="dxa"/>
            <w:left w:w="0" w:type="dxa"/>
            <w:bottom w:w="0" w:type="dxa"/>
            <w:right w:w="0" w:type="dxa"/>
          </w:tblCellMar>
        </w:tblPrEx>
        <w:trPr>
          <w:trHeight w:val="1083" w:hRule="atLeast"/>
        </w:trPr>
        <w:tc>
          <w:tcPr>
            <w:tcW w:w="9682" w:type="dxa"/>
            <w:gridSpan w:val="4"/>
            <w:tcBorders>
              <w:top w:val="single" w:color="auto" w:sz="4" w:space="0"/>
              <w:left w:val="single" w:color="auto" w:sz="4" w:space="0"/>
              <w:bottom w:val="single" w:color="auto" w:sz="4" w:space="0"/>
              <w:right w:val="single" w:color="auto" w:sz="4" w:space="0"/>
            </w:tcBorders>
            <w:tcMar>
              <w:left w:w="15" w:type="dxa"/>
              <w:right w:w="15" w:type="dxa"/>
            </w:tcMar>
            <w:vAlign w:val="center"/>
          </w:tcPr>
          <w:p>
            <w:pPr>
              <w:spacing w:after="0" w:line="560" w:lineRule="exact"/>
              <w:ind w:firstLine="643"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一、售后服务及要求：</w:t>
            </w:r>
          </w:p>
          <w:p>
            <w:pPr>
              <w:spacing w:after="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1.产品供货时，所有产品均严格按中标供应商的响应和承诺的技术参数及性能、国家有关标准及签订的政府采购合同进行验收，达不到要求的视为产品验收不合格，直接做退货处理。</w:t>
            </w:r>
          </w:p>
          <w:p>
            <w:pPr>
              <w:spacing w:after="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产品按国家有关规定或厂家承诺实行“三包”，产品质保期除特别注明外，最短不少于一年（自货物验收合格之日起计算），质保期内全免费上门维修、免费更换零部件；质保期过后提供终身维护。厂家售后服务承诺函承诺更长质保期的，以承诺函为准。</w:t>
            </w:r>
          </w:p>
          <w:p>
            <w:pPr>
              <w:spacing w:after="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软件售后服务7*24小时，保证系统正常运行。</w:t>
            </w:r>
          </w:p>
          <w:p>
            <w:pPr>
              <w:spacing w:after="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硬件故障响应时间1小时，8小时内到达故障现场，若36小时内无法排除故障必须提供备用设备以保证系统正常运行。</w:t>
            </w:r>
          </w:p>
          <w:p>
            <w:pPr>
              <w:spacing w:after="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4.提供免费安装调试、免费送货上门、为采购人培训1-2名使用及维护人员，培训目标应达到基本掌握全套设备的操作，培训地点：采购人所在地。</w:t>
            </w:r>
          </w:p>
          <w:p>
            <w:pPr>
              <w:spacing w:after="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采购人在签订合同前有权要求中标供应商提供中标的产品进行整体性能检测并与响应文件核对，如设备不符合响应文件承诺的，采购人有权要求中标供应商对设备进行更换，直至设备符合招标文件承，产生的后果由中标商自己承担。</w:t>
            </w:r>
          </w:p>
          <w:p>
            <w:pPr>
              <w:spacing w:after="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6.签订合同时，必须一起提供序号第1、第2项、第3项产品原厂针对本项目供货证明文件和授权函原件，否则将不给与签订合同。</w:t>
            </w:r>
          </w:p>
          <w:p>
            <w:pPr>
              <w:spacing w:after="0" w:line="560" w:lineRule="exact"/>
              <w:ind w:firstLine="643"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二、交货时间、交货地点</w:t>
            </w:r>
            <w:r>
              <w:rPr>
                <w:rFonts w:hint="eastAsia" w:ascii="仿宋_GB2312" w:hAnsi="仿宋_GB2312" w:eastAsia="仿宋_GB2312" w:cs="仿宋_GB2312"/>
                <w:b/>
                <w:color w:val="000000"/>
                <w:sz w:val="32"/>
                <w:szCs w:val="32"/>
                <w:lang w:eastAsia="zh-CN"/>
              </w:rPr>
              <w:t>等</w:t>
            </w:r>
            <w:r>
              <w:rPr>
                <w:rFonts w:hint="eastAsia" w:ascii="仿宋_GB2312" w:hAnsi="仿宋_GB2312" w:eastAsia="仿宋_GB2312" w:cs="仿宋_GB2312"/>
                <w:b/>
                <w:color w:val="000000"/>
                <w:sz w:val="32"/>
                <w:szCs w:val="32"/>
              </w:rPr>
              <w:t>：</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1.交货时间：自合同签订之日起30个工作日内交</w:t>
            </w:r>
            <w:r>
              <w:rPr>
                <w:rFonts w:hint="eastAsia" w:ascii="仿宋_GB2312" w:hAnsi="仿宋_GB2312" w:eastAsia="仿宋_GB2312" w:cs="仿宋_GB2312"/>
                <w:sz w:val="32"/>
                <w:szCs w:val="32"/>
              </w:rPr>
              <w:t>货并安装完成。</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2.交货地点：广西河池市采购人指定地点。</w:t>
            </w:r>
          </w:p>
          <w:p>
            <w:pPr>
              <w:spacing w:after="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.总报价应包含设备金额、随配附件、备品备件、工具、货物运抵指定交货地点的各种费用、装卸费、搬运费、安装及相关材料费、调试费、检验</w:t>
            </w:r>
            <w:bookmarkStart w:id="0" w:name="_GoBack"/>
            <w:bookmarkEnd w:id="0"/>
            <w:r>
              <w:rPr>
                <w:rFonts w:hint="eastAsia" w:ascii="仿宋_GB2312" w:hAnsi="仿宋_GB2312" w:eastAsia="仿宋_GB2312" w:cs="仿宋_GB2312"/>
                <w:color w:val="000000"/>
                <w:sz w:val="32"/>
                <w:szCs w:val="32"/>
              </w:rPr>
              <w:t>费、培训费、售后服务、税金、利息、环境还原恢复及其它所有成本费用的总和。</w:t>
            </w:r>
          </w:p>
          <w:p>
            <w:pPr>
              <w:spacing w:after="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.供应商必须在响应文件中提供理解和接受本项目“不提供虚假材料否则按虚假应标处理”的承诺函。</w:t>
            </w:r>
          </w:p>
          <w:p>
            <w:pPr>
              <w:spacing w:after="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进货渠道：必须遵守生产厂商的区域销售代理制度，以保证售后服务质量。</w:t>
            </w:r>
          </w:p>
          <w:p>
            <w:pPr>
              <w:spacing w:after="0"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三、其他要求：</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1.供应商在采购活动中提供任何虚假材料，以及供货时提供的产品与投标文件不一致的，其响应文件无效，将没收投标保证金，并报监管部门查处；</w:t>
            </w:r>
          </w:p>
          <w:p>
            <w:pPr>
              <w:spacing w:after="0" w:line="560" w:lineRule="exact"/>
              <w:ind w:firstLine="640" w:firstLineChars="200"/>
              <w:jc w:val="both"/>
              <w:rPr>
                <w:rFonts w:ascii="宋体"/>
                <w:b/>
              </w:rPr>
            </w:pPr>
            <w:r>
              <w:rPr>
                <w:rFonts w:hint="eastAsia" w:ascii="仿宋_GB2312" w:hAnsi="仿宋_GB2312" w:eastAsia="仿宋_GB2312" w:cs="仿宋_GB2312"/>
                <w:sz w:val="32"/>
                <w:szCs w:val="32"/>
              </w:rPr>
              <w:t>2.中标后，若中标供应商所供产品及售后服务不按采购文件要求履约的，将按照《中华人民共和国政府采购法》 及其实施条例、《政府采购非招标采购方式管理办法》等有关规定严肃处理。</w:t>
            </w:r>
          </w:p>
        </w:tc>
      </w:tr>
    </w:tbl>
    <w:p>
      <w:pPr>
        <w:spacing w:line="220" w:lineRule="atLeast"/>
        <w:jc w:val="both"/>
        <w:rPr>
          <w:rFonts w:ascii="宋体" w:hAnsi="宋体" w:eastAsia="宋体" w:cs="Times New Roman"/>
          <w:color w:val="00000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922F6"/>
    <w:rsid w:val="055D6001"/>
    <w:rsid w:val="32AF1C15"/>
    <w:rsid w:val="6B69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2020-10-28T08:18:00Z</dcterms:created>
  <dc:creator>Administrator</dc:creator>
  <cp:lastModifiedBy>秋风知夏雨</cp:lastModifiedBy>
  <dcterms:modified xsi:type="dcterms:W3CDTF">2020-11-12T08:13:50Z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