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河池市中医医院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val="en-US" w:eastAsia="zh-CN"/>
        </w:rPr>
        <w:t>护士劳保防护用品采购评分标准</w:t>
      </w:r>
    </w:p>
    <w:tbl>
      <w:tblPr>
        <w:tblStyle w:val="6"/>
        <w:tblpPr w:leftFromText="180" w:rightFromText="180" w:vertAnchor="text" w:horzAnchor="page" w:tblpX="1252" w:tblpY="602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99"/>
        <w:gridCol w:w="711"/>
        <w:gridCol w:w="726"/>
        <w:gridCol w:w="5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评审内容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分值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得分</w:t>
            </w: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供货商对本项目需求的响应情况进行评分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对本项目需求非常了解，完全响应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评定为优得5 分；对本项目需求较了解，完全响应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评定为良得4分；对本项目需求了解一般， 基本响应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评定为差得 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299" w:type="dxa"/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供应商资质（提供相关有效证书复印件作为评价证明资料）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按提供相关资质文件齐全程度评分，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优得5分；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良得4分；</w:t>
            </w:r>
            <w:r>
              <w:rPr>
                <w:rFonts w:hint="eastAsia" w:ascii="宋体" w:hAnsi="宋体"/>
                <w:szCs w:val="21"/>
              </w:rPr>
              <w:t>综合评价</w:t>
            </w:r>
            <w:r>
              <w:rPr>
                <w:rFonts w:hint="eastAsia" w:ascii="宋体" w:hAnsi="宋体"/>
                <w:bCs/>
                <w:szCs w:val="21"/>
              </w:rPr>
              <w:t>一般得3分。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售后服务承诺（服务响应时间及出现产品质量问题退换货承诺）</w:t>
            </w:r>
          </w:p>
        </w:tc>
        <w:tc>
          <w:tcPr>
            <w:tcW w:w="71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从服务响应时间及出现产品质量问题退换货承诺方面进行综合比较：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服务响应时间安排紧凑、科学，退换货承诺详尽、合理，得5分；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服务响应时间安排基本合理可行，退换货承诺基本可行，得3分；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服务响应时间安排不够科学，退换货承诺不可行得0分。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299" w:type="dxa"/>
            <w:vAlign w:val="center"/>
          </w:tcPr>
          <w:p>
            <w:pPr>
              <w:tabs>
                <w:tab w:val="left" w:pos="2772"/>
              </w:tabs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近三年有同类项目经验（</w:t>
            </w:r>
            <w:r>
              <w:rPr>
                <w:rFonts w:hint="eastAsia" w:ascii="宋体" w:hAnsi="宋体"/>
                <w:bCs/>
                <w:szCs w:val="21"/>
              </w:rPr>
              <w:t>合同复印件作为同类业绩评价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证明资料）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同类行业销售项目经验，每提供1个得2分，最高得8分。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6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299" w:type="dxa"/>
            <w:vAlign w:val="center"/>
          </w:tcPr>
          <w:p>
            <w:pPr>
              <w:tabs>
                <w:tab w:val="left" w:pos="2772"/>
              </w:tabs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样品</w:t>
            </w:r>
            <w:r>
              <w:rPr>
                <w:rFonts w:hint="eastAsia" w:ascii="宋体" w:hAnsi="宋体" w:cs="宋体"/>
                <w:lang w:eastAsia="zh-CN"/>
              </w:rPr>
              <w:t>品质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37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01" w:type="dxa"/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ascii="宋体" w:hAnsi="宋体"/>
              </w:rPr>
            </w:pPr>
            <w:r>
              <w:rPr>
                <w:color w:val="000000"/>
              </w:rPr>
              <w:t>根据采购清单提供样品各一件，评委会根据样品面料的质量</w:t>
            </w:r>
            <w:r>
              <w:rPr>
                <w:color w:val="000000"/>
                <w:szCs w:val="21"/>
              </w:rPr>
              <w:t>、产品的外观、产品的规格尺寸、产品的工艺水平，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试穿</w:t>
            </w:r>
            <w:r>
              <w:rPr>
                <w:rFonts w:hint="eastAsia" w:ascii="宋体" w:hAnsi="宋体"/>
                <w:szCs w:val="21"/>
              </w:rPr>
              <w:t>的舒适度</w:t>
            </w:r>
            <w:r>
              <w:rPr>
                <w:color w:val="000000"/>
                <w:szCs w:val="21"/>
              </w:rPr>
              <w:t>等方面进行对比、综合评价打分，优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000000"/>
                <w:szCs w:val="21"/>
              </w:rPr>
              <w:t>分，</w:t>
            </w:r>
            <w:r>
              <w:rPr>
                <w:color w:val="000000"/>
                <w:szCs w:val="21"/>
              </w:rPr>
              <w:t>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分</w:t>
            </w:r>
            <w:r>
              <w:rPr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差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未提供样品或样品不齐</w:t>
            </w:r>
            <w:r>
              <w:rPr>
                <w:rFonts w:hint="eastAsia"/>
                <w:color w:val="000000"/>
                <w:szCs w:val="21"/>
              </w:rPr>
              <w:t>)0-7分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40</w:t>
            </w: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5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报价得分是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满足采购文件要求且投标总价格最低的报价为</w:t>
            </w:r>
            <w:r>
              <w:rPr>
                <w:rFonts w:hint="eastAsia" w:ascii="宋体" w:hAnsi="宋体" w:cs="宋体"/>
                <w:szCs w:val="21"/>
              </w:rPr>
              <w:t>评标基准价，其他投标人的报价得分则按比例算出。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价格分＝（评标基准价/投标报价）×40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，价格分值保留到小数点后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680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711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726" w:type="dxa"/>
            <w:vAlign w:val="center"/>
          </w:tcPr>
          <w:p>
            <w:pPr>
              <w:pStyle w:val="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1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sz w:val="24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评委签字：                                日期：         年    月    日</w:t>
      </w:r>
    </w:p>
    <w:sectPr>
      <w:pgSz w:w="11906" w:h="16838"/>
      <w:pgMar w:top="1440" w:right="1800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MjE2MzNiOTU4MzMwY2IxM2ZiNTJiM2U3OTIyNTQifQ=="/>
    <w:docVar w:name="KSO_WPS_MARK_KEY" w:val="58b9bbdb-4f5f-44d6-b53c-d8b68e900320"/>
  </w:docVars>
  <w:rsids>
    <w:rsidRoot w:val="004E4324"/>
    <w:rsid w:val="00034DB8"/>
    <w:rsid w:val="000849FA"/>
    <w:rsid w:val="001E3DD2"/>
    <w:rsid w:val="001F3CF2"/>
    <w:rsid w:val="0027083F"/>
    <w:rsid w:val="002F4C0E"/>
    <w:rsid w:val="003A03EB"/>
    <w:rsid w:val="003A0E72"/>
    <w:rsid w:val="004E4324"/>
    <w:rsid w:val="00523508"/>
    <w:rsid w:val="00525337"/>
    <w:rsid w:val="00541A50"/>
    <w:rsid w:val="00557578"/>
    <w:rsid w:val="006067D4"/>
    <w:rsid w:val="006405E9"/>
    <w:rsid w:val="00691DCC"/>
    <w:rsid w:val="006E6885"/>
    <w:rsid w:val="007824AF"/>
    <w:rsid w:val="007A138A"/>
    <w:rsid w:val="007A741F"/>
    <w:rsid w:val="007B796E"/>
    <w:rsid w:val="008002C5"/>
    <w:rsid w:val="008B3D0C"/>
    <w:rsid w:val="008F66D4"/>
    <w:rsid w:val="00992435"/>
    <w:rsid w:val="009A206C"/>
    <w:rsid w:val="009D104A"/>
    <w:rsid w:val="009D3A05"/>
    <w:rsid w:val="00AB32A3"/>
    <w:rsid w:val="00B07A04"/>
    <w:rsid w:val="00B92BB3"/>
    <w:rsid w:val="00BE6D50"/>
    <w:rsid w:val="00CD4365"/>
    <w:rsid w:val="00EA4C36"/>
    <w:rsid w:val="00F14019"/>
    <w:rsid w:val="00F477FD"/>
    <w:rsid w:val="00FC569C"/>
    <w:rsid w:val="00FD778F"/>
    <w:rsid w:val="00FF08A0"/>
    <w:rsid w:val="059029E0"/>
    <w:rsid w:val="05AF51AE"/>
    <w:rsid w:val="193852BE"/>
    <w:rsid w:val="1D035701"/>
    <w:rsid w:val="25ED5014"/>
    <w:rsid w:val="26033F17"/>
    <w:rsid w:val="2B066EA8"/>
    <w:rsid w:val="37A91957"/>
    <w:rsid w:val="412C78F0"/>
    <w:rsid w:val="4B100037"/>
    <w:rsid w:val="4F643120"/>
    <w:rsid w:val="5BC13CE5"/>
    <w:rsid w:val="5DC80EDC"/>
    <w:rsid w:val="60AD6181"/>
    <w:rsid w:val="685F22C6"/>
    <w:rsid w:val="6DF37331"/>
    <w:rsid w:val="6F685EF5"/>
    <w:rsid w:val="71282A92"/>
    <w:rsid w:val="71666436"/>
    <w:rsid w:val="76960B10"/>
    <w:rsid w:val="78576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Theme="minorHAnsi" w:hAnsiTheme="minorHAnsi" w:cstheme="minorBidi"/>
    </w:r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5653-1852-417B-B5C3-2C166EC52D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111</Words>
  <Characters>638</Characters>
  <Lines>5</Lines>
  <Paragraphs>1</Paragraphs>
  <TotalTime>4</TotalTime>
  <ScaleCrop>false</ScaleCrop>
  <LinksUpToDate>false</LinksUpToDate>
  <CharactersWithSpaces>748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netuser</dc:creator>
  <cp:lastModifiedBy>阳光</cp:lastModifiedBy>
  <cp:lastPrinted>2023-10-08T01:41:00Z</cp:lastPrinted>
  <dcterms:modified xsi:type="dcterms:W3CDTF">2023-10-25T08:35:43Z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F21AE7F5095143928D38153F61812835</vt:lpwstr>
  </property>
</Properties>
</file>