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2FB40">
      <w:pPr>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w:t>
      </w:r>
      <w:bookmarkStart w:id="0" w:name="_GoBack"/>
      <w:bookmarkEnd w:id="0"/>
    </w:p>
    <w:p w14:paraId="28C8CE55">
      <w:pPr>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采购需求</w:t>
      </w:r>
    </w:p>
    <w:p w14:paraId="710480D4">
      <w:pPr>
        <w:jc w:val="left"/>
        <w:rPr>
          <w:rFonts w:hint="default" w:ascii="宋体" w:hAnsi="宋体" w:cs="宋体"/>
          <w:b w:val="0"/>
          <w:bCs w:val="0"/>
          <w:kern w:val="0"/>
          <w:szCs w:val="21"/>
          <w:lang w:val="en-US" w:eastAsia="zh-CN"/>
        </w:rPr>
      </w:pPr>
    </w:p>
    <w:p w14:paraId="7673B45A">
      <w:pPr>
        <w:jc w:val="center"/>
        <w:rPr>
          <w:rFonts w:hint="eastAsia"/>
          <w:b w:val="0"/>
          <w:bCs w:val="0"/>
          <w:lang w:val="en-US" w:eastAsia="zh-CN"/>
        </w:rPr>
      </w:pPr>
      <w:r>
        <w:rPr>
          <w:rFonts w:hint="eastAsia" w:ascii="宋体" w:hAnsi="宋体" w:cs="宋体"/>
          <w:b w:val="0"/>
          <w:bCs w:val="0"/>
          <w:kern w:val="0"/>
          <w:szCs w:val="21"/>
        </w:rPr>
        <w:t>（“实质性要求”是指文件中已经指明不满足则投标无效的条款，或者不能负偏离的条款，或者采购需求中带“▲”或“★”的条款。）</w:t>
      </w:r>
    </w:p>
    <w:tbl>
      <w:tblPr>
        <w:tblStyle w:val="4"/>
        <w:tblW w:w="49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
        <w:gridCol w:w="756"/>
        <w:gridCol w:w="555"/>
        <w:gridCol w:w="6751"/>
      </w:tblGrid>
      <w:tr w14:paraId="0718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53CBF953">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451" w:type="pct"/>
            <w:noWrap w:val="0"/>
            <w:vAlign w:val="center"/>
          </w:tcPr>
          <w:p w14:paraId="04162838">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331" w:type="pct"/>
            <w:noWrap w:val="0"/>
            <w:vAlign w:val="center"/>
          </w:tcPr>
          <w:p w14:paraId="5360688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36" w:type="pct"/>
            <w:noWrap w:val="0"/>
            <w:vAlign w:val="center"/>
          </w:tcPr>
          <w:p w14:paraId="20AEA191">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r>
      <w:tr w14:paraId="7C6E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79" w:type="pct"/>
            <w:noWrap w:val="0"/>
            <w:vAlign w:val="center"/>
          </w:tcPr>
          <w:p w14:paraId="336B80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451" w:type="pct"/>
            <w:noWrap w:val="0"/>
            <w:vAlign w:val="center"/>
          </w:tcPr>
          <w:p w14:paraId="741FC3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瓶装医用气体配送服务项目</w:t>
            </w:r>
          </w:p>
        </w:tc>
        <w:tc>
          <w:tcPr>
            <w:tcW w:w="331" w:type="pct"/>
            <w:noWrap w:val="0"/>
            <w:vAlign w:val="center"/>
          </w:tcPr>
          <w:p w14:paraId="503FB24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36" w:type="pct"/>
            <w:noWrap w:val="0"/>
            <w:vAlign w:val="center"/>
          </w:tcPr>
          <w:p w14:paraId="520BB093">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39EFA1">
            <w:pPr>
              <w:numPr>
                <w:ilvl w:val="0"/>
                <w:numId w:val="1"/>
              </w:numPr>
              <w:rPr>
                <w:rFonts w:hint="eastAsia"/>
                <w:highlight w:val="none"/>
                <w:lang w:val="en-US" w:eastAsia="zh-CN"/>
              </w:rPr>
            </w:pPr>
            <w:r>
              <w:rPr>
                <w:rFonts w:hint="eastAsia"/>
                <w:highlight w:val="none"/>
                <w:lang w:val="en-US" w:eastAsia="zh-CN"/>
              </w:rPr>
              <w:t>河池市中医医院拟采购</w:t>
            </w:r>
            <w:r>
              <w:rPr>
                <w:rFonts w:hint="eastAsia" w:hAnsi="宋体" w:cs="宋体"/>
                <w:bCs/>
                <w:color w:val="auto"/>
                <w:kern w:val="2"/>
                <w:sz w:val="21"/>
                <w:szCs w:val="21"/>
                <w:highlight w:val="none"/>
              </w:rPr>
              <w:t>瓶装医用气体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645B7526">
            <w:pPr>
              <w:numPr>
                <w:ilvl w:val="0"/>
                <w:numId w:val="1"/>
              </w:numPr>
              <w:rPr>
                <w:rFonts w:hint="eastAsia"/>
                <w:highlight w:val="none"/>
                <w:lang w:val="en-US" w:eastAsia="zh-CN"/>
              </w:rPr>
            </w:pPr>
            <w:r>
              <w:rPr>
                <w:rFonts w:hint="default"/>
                <w:highlight w:val="none"/>
                <w:lang w:val="en-US" w:eastAsia="zh-CN"/>
              </w:rPr>
              <w:t>采购需求概况的</w:t>
            </w:r>
            <w:r>
              <w:rPr>
                <w:rFonts w:hint="eastAsia"/>
                <w:highlight w:val="none"/>
                <w:lang w:val="en-US" w:eastAsia="zh-CN"/>
              </w:rPr>
              <w:t>规格与</w:t>
            </w:r>
            <w:r>
              <w:rPr>
                <w:rFonts w:hint="default"/>
                <w:highlight w:val="none"/>
                <w:lang w:val="en-US" w:eastAsia="zh-CN"/>
              </w:rPr>
              <w:t>参数</w:t>
            </w:r>
            <w:r>
              <w:rPr>
                <w:rFonts w:hint="eastAsia"/>
                <w:highlight w:val="none"/>
                <w:lang w:val="en-US" w:eastAsia="zh-CN"/>
              </w:rPr>
              <w:t>要求</w:t>
            </w:r>
            <w:r>
              <w:rPr>
                <w:rFonts w:hint="default"/>
                <w:highlight w:val="none"/>
                <w:lang w:val="en-US" w:eastAsia="zh-CN"/>
              </w:rPr>
              <w:t>仅供参考，最终采购的产品以</w:t>
            </w:r>
            <w:r>
              <w:rPr>
                <w:rFonts w:hint="eastAsia"/>
                <w:highlight w:val="none"/>
                <w:lang w:val="en-US" w:eastAsia="zh-CN"/>
              </w:rPr>
              <w:t>院内议价采购</w:t>
            </w:r>
            <w:r>
              <w:rPr>
                <w:rFonts w:hint="default"/>
                <w:highlight w:val="none"/>
                <w:lang w:val="en-US" w:eastAsia="zh-CN"/>
              </w:rPr>
              <w:t>的结果为准。</w:t>
            </w:r>
          </w:p>
          <w:p w14:paraId="254F492B">
            <w:pPr>
              <w:numPr>
                <w:ilvl w:val="0"/>
                <w:numId w:val="1"/>
              </w:numPr>
              <w:rPr>
                <w:rFonts w:hint="default"/>
                <w:highlight w:val="none"/>
                <w:lang w:val="en-US" w:eastAsia="zh-CN"/>
              </w:rPr>
            </w:pPr>
            <w:r>
              <w:rPr>
                <w:rFonts w:hint="eastAsia"/>
                <w:highlight w:val="none"/>
                <w:lang w:val="en-US" w:eastAsia="zh-CN"/>
              </w:rPr>
              <w:t>交付地点：河池市中医医院，采购人指定地点。</w:t>
            </w:r>
          </w:p>
          <w:p w14:paraId="6F19C234">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4"/>
              <w:tblpPr w:leftFromText="180" w:rightFromText="180" w:vertAnchor="text" w:horzAnchor="page" w:tblpX="156" w:tblpY="90"/>
              <w:tblOverlap w:val="never"/>
              <w:tblW w:w="48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0"/>
              <w:gridCol w:w="1293"/>
              <w:gridCol w:w="610"/>
              <w:gridCol w:w="414"/>
              <w:gridCol w:w="579"/>
              <w:gridCol w:w="2904"/>
            </w:tblGrid>
            <w:tr w14:paraId="43B4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04" w:type="pct"/>
                  <w:shd w:val="clear" w:color="auto" w:fill="auto"/>
                  <w:noWrap/>
                  <w:vAlign w:val="center"/>
                </w:tcPr>
                <w:p w14:paraId="49023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024" w:type="pct"/>
                  <w:shd w:val="clear" w:color="auto" w:fill="auto"/>
                  <w:noWrap/>
                  <w:vAlign w:val="center"/>
                </w:tcPr>
                <w:p w14:paraId="206A04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83" w:type="pct"/>
                  <w:shd w:val="clear" w:color="auto" w:fill="auto"/>
                  <w:noWrap/>
                  <w:vAlign w:val="center"/>
                </w:tcPr>
                <w:p w14:paraId="5A544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328" w:type="pct"/>
                  <w:shd w:val="clear" w:color="auto" w:fill="auto"/>
                  <w:noWrap/>
                  <w:vAlign w:val="center"/>
                </w:tcPr>
                <w:p w14:paraId="721AFC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458" w:type="pct"/>
                  <w:shd w:val="clear" w:color="auto" w:fill="auto"/>
                  <w:noWrap/>
                  <w:vAlign w:val="center"/>
                </w:tcPr>
                <w:p w14:paraId="77F1E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301" w:type="pct"/>
                  <w:shd w:val="clear" w:color="auto" w:fill="auto"/>
                  <w:noWrap/>
                  <w:vAlign w:val="center"/>
                </w:tcPr>
                <w:p w14:paraId="7543B0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69D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04" w:type="pct"/>
                  <w:shd w:val="clear" w:color="auto" w:fill="auto"/>
                  <w:noWrap/>
                  <w:vAlign w:val="center"/>
                </w:tcPr>
                <w:p w14:paraId="0752C0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24" w:type="pct"/>
                  <w:shd w:val="clear" w:color="auto" w:fill="auto"/>
                  <w:noWrap/>
                  <w:vAlign w:val="center"/>
                </w:tcPr>
                <w:p w14:paraId="3D6B66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83" w:type="pct"/>
                  <w:shd w:val="clear" w:color="auto" w:fill="auto"/>
                  <w:noWrap/>
                  <w:vAlign w:val="center"/>
                </w:tcPr>
                <w:p w14:paraId="6F98E77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10L</w:t>
                  </w:r>
                </w:p>
              </w:tc>
              <w:tc>
                <w:tcPr>
                  <w:tcW w:w="328" w:type="pct"/>
                  <w:shd w:val="clear" w:color="auto" w:fill="auto"/>
                  <w:noWrap/>
                  <w:vAlign w:val="center"/>
                </w:tcPr>
                <w:p w14:paraId="5556F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458" w:type="pct"/>
                  <w:shd w:val="clear" w:color="auto" w:fill="auto"/>
                  <w:noWrap/>
                  <w:vAlign w:val="center"/>
                </w:tcPr>
                <w:p w14:paraId="710250C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w:t>
                  </w:r>
                </w:p>
              </w:tc>
              <w:tc>
                <w:tcPr>
                  <w:tcW w:w="2301" w:type="pct"/>
                  <w:shd w:val="clear" w:color="auto" w:fill="auto"/>
                  <w:vAlign w:val="center"/>
                </w:tcPr>
                <w:p w14:paraId="49800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1AC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404" w:type="pct"/>
                  <w:shd w:val="clear" w:color="auto" w:fill="auto"/>
                  <w:noWrap/>
                  <w:vAlign w:val="center"/>
                </w:tcPr>
                <w:p w14:paraId="7CEC3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24" w:type="pct"/>
                  <w:shd w:val="clear" w:color="auto" w:fill="auto"/>
                  <w:noWrap/>
                  <w:vAlign w:val="center"/>
                </w:tcPr>
                <w:p w14:paraId="25350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83" w:type="pct"/>
                  <w:shd w:val="clear" w:color="auto" w:fill="auto"/>
                  <w:noWrap/>
                  <w:vAlign w:val="center"/>
                </w:tcPr>
                <w:p w14:paraId="4FBAD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0CF9F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79EF83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600</w:t>
                  </w:r>
                </w:p>
              </w:tc>
              <w:tc>
                <w:tcPr>
                  <w:tcW w:w="2301" w:type="pct"/>
                  <w:shd w:val="clear" w:color="auto" w:fill="auto"/>
                  <w:vAlign w:val="center"/>
                </w:tcPr>
                <w:p w14:paraId="298DF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20FC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4" w:hRule="atLeast"/>
              </w:trPr>
              <w:tc>
                <w:tcPr>
                  <w:tcW w:w="404" w:type="pct"/>
                  <w:shd w:val="clear" w:color="auto" w:fill="auto"/>
                  <w:noWrap/>
                  <w:vAlign w:val="center"/>
                </w:tcPr>
                <w:p w14:paraId="3B1EA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1024" w:type="pct"/>
                  <w:shd w:val="clear" w:color="auto" w:fill="auto"/>
                  <w:noWrap/>
                  <w:vAlign w:val="center"/>
                </w:tcPr>
                <w:p w14:paraId="16CA6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w:t>
                  </w:r>
                </w:p>
              </w:tc>
              <w:tc>
                <w:tcPr>
                  <w:tcW w:w="483" w:type="pct"/>
                  <w:shd w:val="clear" w:color="auto" w:fill="auto"/>
                  <w:noWrap/>
                  <w:vAlign w:val="center"/>
                </w:tcPr>
                <w:p w14:paraId="163BF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3FDBC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1DEFA09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2301" w:type="pct"/>
                  <w:shd w:val="clear" w:color="auto" w:fill="auto"/>
                  <w:vAlign w:val="center"/>
                </w:tcPr>
                <w:p w14:paraId="786FB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纯度≥99.99%；</w:t>
                  </w:r>
                </w:p>
              </w:tc>
            </w:tr>
            <w:tr w14:paraId="2FC1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404" w:type="pct"/>
                  <w:shd w:val="clear" w:color="auto" w:fill="auto"/>
                  <w:noWrap/>
                  <w:vAlign w:val="center"/>
                </w:tcPr>
                <w:p w14:paraId="693A6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024" w:type="pct"/>
                  <w:shd w:val="clear" w:color="auto" w:fill="auto"/>
                  <w:noWrap/>
                  <w:vAlign w:val="center"/>
                </w:tcPr>
                <w:p w14:paraId="10BDB9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83" w:type="pct"/>
                  <w:shd w:val="clear" w:color="auto" w:fill="auto"/>
                  <w:noWrap/>
                  <w:vAlign w:val="center"/>
                </w:tcPr>
                <w:p w14:paraId="4CD20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77D6B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0169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301" w:type="pct"/>
                  <w:shd w:val="clear" w:color="auto" w:fill="auto"/>
                  <w:vAlign w:val="center"/>
                </w:tcPr>
                <w:p w14:paraId="33C33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61CB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2" w:hRule="atLeast"/>
              </w:trPr>
              <w:tc>
                <w:tcPr>
                  <w:tcW w:w="404" w:type="pct"/>
                  <w:shd w:val="clear" w:color="auto" w:fill="auto"/>
                  <w:noWrap/>
                  <w:vAlign w:val="center"/>
                </w:tcPr>
                <w:p w14:paraId="0D7F0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1024" w:type="pct"/>
                  <w:shd w:val="clear" w:color="auto" w:fill="auto"/>
                  <w:noWrap/>
                  <w:vAlign w:val="center"/>
                </w:tcPr>
                <w:p w14:paraId="7109668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高纯乙炔</w:t>
                  </w:r>
                </w:p>
              </w:tc>
              <w:tc>
                <w:tcPr>
                  <w:tcW w:w="483" w:type="pct"/>
                  <w:shd w:val="clear" w:color="auto" w:fill="auto"/>
                  <w:noWrap/>
                  <w:vAlign w:val="center"/>
                </w:tcPr>
                <w:p w14:paraId="38E27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328" w:type="pct"/>
                  <w:shd w:val="clear" w:color="auto" w:fill="auto"/>
                  <w:noWrap/>
                  <w:vAlign w:val="center"/>
                </w:tcPr>
                <w:p w14:paraId="1F431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458" w:type="pct"/>
                  <w:shd w:val="clear" w:color="auto" w:fill="auto"/>
                  <w:noWrap/>
                  <w:vAlign w:val="center"/>
                </w:tcPr>
                <w:p w14:paraId="38375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2301" w:type="pct"/>
                  <w:shd w:val="clear" w:color="auto" w:fill="auto"/>
                  <w:vAlign w:val="center"/>
                </w:tcPr>
                <w:p w14:paraId="0FB12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标准:GB6819-2004</w:t>
                  </w:r>
                </w:p>
                <w:p w14:paraId="094CA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纯度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99.9%</w:t>
                  </w:r>
                </w:p>
              </w:tc>
            </w:tr>
            <w:tr w14:paraId="2D6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404" w:type="pct"/>
                  <w:shd w:val="clear" w:color="auto" w:fill="auto"/>
                  <w:noWrap/>
                  <w:vAlign w:val="center"/>
                </w:tcPr>
                <w:p w14:paraId="7B9AF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1024" w:type="pct"/>
                  <w:shd w:val="clear" w:color="auto" w:fill="auto"/>
                  <w:noWrap/>
                  <w:vAlign w:val="center"/>
                </w:tcPr>
                <w:p w14:paraId="15E6CA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标准气</w:t>
                  </w:r>
                </w:p>
              </w:tc>
              <w:tc>
                <w:tcPr>
                  <w:tcW w:w="483" w:type="pct"/>
                  <w:shd w:val="clear" w:color="auto" w:fill="auto"/>
                  <w:noWrap/>
                  <w:vAlign w:val="center"/>
                </w:tcPr>
                <w:p w14:paraId="54F6E5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3259F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5B820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2301" w:type="pct"/>
                  <w:shd w:val="clear" w:color="auto" w:fill="auto"/>
                  <w:vAlign w:val="center"/>
                </w:tcPr>
                <w:p w14:paraId="602E3E4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主要成分（CH4</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0.30%，CO 0.</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C2H2 0.30%</w:t>
                  </w:r>
                </w:p>
                <w:p w14:paraId="765069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O2 21.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 ，N2平衡气）</w:t>
                  </w:r>
                </w:p>
                <w:p w14:paraId="43C54DAF">
                  <w:pPr>
                    <w:keepNext w:val="0"/>
                    <w:keepLines w:val="0"/>
                    <w:widowControl/>
                    <w:suppressLineNumbers w:val="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压力：10MPa</w:t>
                  </w:r>
                </w:p>
                <w:p w14:paraId="4858CDA6">
                  <w:pPr>
                    <w:keepNext w:val="0"/>
                    <w:keepLines w:val="0"/>
                    <w:widowControl/>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 xml:space="preserve">标准：GB/T 5274-2023  </w:t>
                  </w:r>
                </w:p>
              </w:tc>
            </w:tr>
            <w:tr w14:paraId="5B2A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404" w:type="pct"/>
                  <w:shd w:val="clear" w:color="auto" w:fill="auto"/>
                  <w:noWrap/>
                  <w:vAlign w:val="center"/>
                </w:tcPr>
                <w:p w14:paraId="6A262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7</w:t>
                  </w:r>
                </w:p>
              </w:tc>
              <w:tc>
                <w:tcPr>
                  <w:tcW w:w="1024" w:type="pct"/>
                  <w:shd w:val="clear" w:color="auto" w:fill="auto"/>
                  <w:noWrap/>
                  <w:vAlign w:val="center"/>
                </w:tcPr>
                <w:p w14:paraId="364B3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普通氩气</w:t>
                  </w:r>
                </w:p>
              </w:tc>
              <w:tc>
                <w:tcPr>
                  <w:tcW w:w="483" w:type="pct"/>
                  <w:shd w:val="clear" w:color="auto" w:fill="auto"/>
                  <w:noWrap/>
                  <w:vAlign w:val="center"/>
                </w:tcPr>
                <w:p w14:paraId="62FDA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0FADA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7E387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2301" w:type="pct"/>
                  <w:shd w:val="clear" w:color="auto" w:fill="auto"/>
                  <w:vAlign w:val="center"/>
                </w:tcPr>
                <w:p w14:paraId="00B6D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bl>
          <w:p w14:paraId="5112FA38">
            <w:pPr>
              <w:numPr>
                <w:ilvl w:val="0"/>
                <w:numId w:val="0"/>
              </w:numPr>
              <w:ind w:leftChars="0"/>
              <w:rPr>
                <w:rFonts w:hint="eastAsia"/>
                <w:b/>
                <w:bCs/>
                <w:highlight w:val="none"/>
                <w:lang w:val="en-US" w:eastAsia="zh-CN"/>
              </w:rPr>
            </w:pPr>
          </w:p>
          <w:p w14:paraId="2CA8EDF8">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26791335">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w:t>
            </w:r>
            <w:r>
              <w:rPr>
                <w:rFonts w:hint="eastAsia"/>
                <w:highlight w:val="none"/>
                <w:lang w:val="en-US" w:eastAsia="zh-CN"/>
              </w:rPr>
              <w:t>供应商</w:t>
            </w:r>
            <w:r>
              <w:rPr>
                <w:rFonts w:hint="eastAsia"/>
                <w:b w:val="0"/>
                <w:bCs w:val="0"/>
                <w:color w:val="auto"/>
                <w:sz w:val="21"/>
                <w:szCs w:val="21"/>
                <w:highlight w:val="none"/>
                <w:lang w:val="en-US" w:eastAsia="zh-CN"/>
              </w:rPr>
              <w:t>所提供的投标产品全部涵盖项目清单中的所有项目，必须是合格的、未曾使用过的全新产品，所采用的原料优良、质量上乘，原材料、辅料、成品均须符合相应的国家标准和行业标准的要求，如相关标准有更新、按最新标准执行。</w:t>
            </w:r>
          </w:p>
          <w:p w14:paraId="3B859EDE">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highlight w:val="none"/>
                <w:lang w:val="en-US" w:eastAsia="zh-CN"/>
              </w:rPr>
              <w:t>供应商</w:t>
            </w:r>
            <w:r>
              <w:rPr>
                <w:rFonts w:hint="eastAsia"/>
                <w:color w:val="auto"/>
                <w:sz w:val="21"/>
                <w:szCs w:val="21"/>
                <w:highlight w:val="none"/>
                <w:lang w:val="en-US" w:eastAsia="zh-CN"/>
              </w:rPr>
              <w:t>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w:t>
            </w:r>
            <w:r>
              <w:rPr>
                <w:rFonts w:hint="eastAsia"/>
                <w:highlight w:val="none"/>
                <w:lang w:val="en-US" w:eastAsia="zh-CN"/>
              </w:rPr>
              <w:t>供应商</w:t>
            </w:r>
            <w:r>
              <w:rPr>
                <w:rFonts w:hint="default"/>
                <w:color w:val="auto"/>
                <w:sz w:val="21"/>
                <w:szCs w:val="21"/>
                <w:highlight w:val="none"/>
                <w:lang w:val="en-US" w:eastAsia="zh-CN"/>
              </w:rPr>
              <w:t>负责</w:t>
            </w:r>
            <w:r>
              <w:rPr>
                <w:rFonts w:hint="eastAsia"/>
                <w:color w:val="auto"/>
                <w:sz w:val="21"/>
                <w:szCs w:val="21"/>
                <w:highlight w:val="none"/>
                <w:lang w:val="en-US" w:eastAsia="zh-CN"/>
              </w:rPr>
              <w:t>。如国家对此类产品的运输、储存、中转、装卸有特殊要求的，供应商负责办理相关手续并承担一切费用。</w:t>
            </w:r>
          </w:p>
          <w:p w14:paraId="523FAF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0D2B35A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162200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6F6CB5F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r>
      <w:tr w14:paraId="5BA2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3B15BBAA">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r>
      <w:tr w14:paraId="60BB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963" w:type="pct"/>
            <w:gridSpan w:val="3"/>
            <w:noWrap w:val="0"/>
            <w:vAlign w:val="center"/>
          </w:tcPr>
          <w:p w14:paraId="7C20BB57">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36" w:type="pct"/>
            <w:noWrap w:val="0"/>
            <w:vAlign w:val="center"/>
          </w:tcPr>
          <w:p w14:paraId="15BE55CC">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1、投标人须对本项目涉及的医用瓶装气体做出单项报价，详见技术参数  二、采购清单。竞标供应商的投标总报价≤采购预算。</w:t>
            </w:r>
          </w:p>
          <w:p w14:paraId="2D4F2A68">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r>
      <w:tr w14:paraId="10A2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53FC208B">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36" w:type="pct"/>
            <w:noWrap w:val="0"/>
            <w:vAlign w:val="center"/>
          </w:tcPr>
          <w:p w14:paraId="61F8E3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w:t>
            </w:r>
            <w:r>
              <w:rPr>
                <w:rFonts w:hint="eastAsia"/>
                <w:color w:val="auto"/>
                <w:highlight w:val="none"/>
                <w:lang w:val="en-US" w:eastAsia="zh-CN"/>
              </w:rPr>
              <w:t>采购人不提供储存场地。</w:t>
            </w:r>
            <w:r>
              <w:rPr>
                <w:rFonts w:hint="eastAsia" w:eastAsia="宋体"/>
                <w:highlight w:val="none"/>
                <w:lang w:val="en-US" w:eastAsia="zh-CN"/>
              </w:rPr>
              <w:t>根据采购人需求分批送货，</w:t>
            </w:r>
            <w:r>
              <w:rPr>
                <w:rFonts w:hint="eastAsia"/>
                <w:highlight w:val="none"/>
                <w:lang w:val="en-US" w:eastAsia="zh-CN"/>
              </w:rPr>
              <w:t>供应商</w:t>
            </w:r>
            <w:r>
              <w:rPr>
                <w:rFonts w:hint="eastAsia" w:eastAsia="宋体"/>
                <w:highlight w:val="none"/>
                <w:lang w:val="en-US" w:eastAsia="zh-CN"/>
              </w:rPr>
              <w:t>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601222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r>
      <w:tr w14:paraId="0723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20A37F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36" w:type="pct"/>
            <w:noWrap w:val="0"/>
            <w:vAlign w:val="center"/>
          </w:tcPr>
          <w:p w14:paraId="33832E32">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w:t>
            </w:r>
            <w:r>
              <w:rPr>
                <w:rFonts w:hint="eastAsia"/>
                <w:highlight w:val="none"/>
                <w:lang w:val="en-US" w:eastAsia="zh-CN"/>
              </w:rPr>
              <w:t>供应商</w:t>
            </w:r>
            <w:r>
              <w:rPr>
                <w:rFonts w:hint="default"/>
                <w:highlight w:val="none"/>
                <w:lang w:val="en-US" w:eastAsia="zh-CN"/>
              </w:rPr>
              <w:t>应提供货物清单、合格证等材料</w:t>
            </w:r>
            <w:r>
              <w:rPr>
                <w:rFonts w:hint="eastAsia"/>
                <w:highlight w:val="none"/>
                <w:lang w:val="en-US" w:eastAsia="zh-CN"/>
              </w:rPr>
              <w:t>，</w:t>
            </w:r>
            <w:r>
              <w:rPr>
                <w:rFonts w:hint="default"/>
                <w:highlight w:val="none"/>
                <w:lang w:val="en-US" w:eastAsia="zh-CN"/>
              </w:rPr>
              <w:t>产品抵达现场后，</w:t>
            </w:r>
            <w:r>
              <w:rPr>
                <w:rFonts w:hint="eastAsia"/>
                <w:highlight w:val="none"/>
                <w:lang w:val="en-US" w:eastAsia="zh-CN"/>
              </w:rPr>
              <w:t>供应商</w:t>
            </w:r>
            <w:r>
              <w:rPr>
                <w:rFonts w:hint="default"/>
                <w:highlight w:val="none"/>
                <w:lang w:val="en-US" w:eastAsia="zh-CN"/>
              </w:rPr>
              <w:t>需指派人员与采购人共同进行清点和验收。若产品的各项参数指标及配置均达到技术指标要求，则视为产品验收合格。</w:t>
            </w:r>
          </w:p>
          <w:p w14:paraId="397C8B25">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w:t>
            </w:r>
            <w:r>
              <w:rPr>
                <w:rFonts w:hint="eastAsia"/>
                <w:highlight w:val="none"/>
                <w:lang w:val="en-US" w:eastAsia="zh-CN"/>
              </w:rPr>
              <w:t>供应商</w:t>
            </w:r>
            <w:r>
              <w:rPr>
                <w:rFonts w:hint="default"/>
                <w:highlight w:val="none"/>
                <w:lang w:val="en-US" w:eastAsia="zh-CN"/>
              </w:rPr>
              <w:t>应负责</w:t>
            </w:r>
            <w:r>
              <w:rPr>
                <w:rFonts w:hint="eastAsia"/>
                <w:highlight w:val="none"/>
                <w:lang w:val="en-US" w:eastAsia="zh-CN"/>
              </w:rPr>
              <w:t>在24小时内</w:t>
            </w:r>
            <w:r>
              <w:rPr>
                <w:rFonts w:hint="default"/>
                <w:highlight w:val="none"/>
                <w:lang w:val="en-US" w:eastAsia="zh-CN"/>
              </w:rPr>
              <w:t>补充缺少的产品或回收多余部分。若</w:t>
            </w:r>
            <w:r>
              <w:rPr>
                <w:rFonts w:hint="eastAsia"/>
                <w:highlight w:val="none"/>
                <w:lang w:val="en-US" w:eastAsia="zh-CN"/>
              </w:rPr>
              <w:t>供应商</w:t>
            </w:r>
            <w:r>
              <w:rPr>
                <w:rFonts w:hint="default"/>
                <w:highlight w:val="none"/>
                <w:lang w:val="en-US" w:eastAsia="zh-CN"/>
              </w:rPr>
              <w:t>提供的产品质量或规格型号不符合文件及合同规定，采购人有权拒绝接收产品。双方人员应对供货中存在的问题进行详细记录形成现场记录或备忘录并签字确认，备忘录可作为退货、换货和追责的有效依据。</w:t>
            </w:r>
            <w:r>
              <w:rPr>
                <w:rFonts w:hint="eastAsia"/>
                <w:highlight w:val="none"/>
                <w:lang w:val="en-US" w:eastAsia="zh-CN"/>
              </w:rPr>
              <w:t>供应商</w:t>
            </w:r>
            <w:r>
              <w:rPr>
                <w:rFonts w:hint="default"/>
                <w:highlight w:val="none"/>
                <w:lang w:val="en-US" w:eastAsia="zh-CN"/>
              </w:rPr>
              <w:t>需负责更换全新的产品，并承担由此给采购人造成的所有损失。</w:t>
            </w:r>
          </w:p>
          <w:p w14:paraId="27F9929B">
            <w:pPr>
              <w:numPr>
                <w:ilvl w:val="0"/>
                <w:numId w:val="0"/>
              </w:numPr>
              <w:ind w:leftChars="0"/>
              <w:rPr>
                <w:rFonts w:hint="eastAsia"/>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供应商</w:t>
            </w:r>
            <w:r>
              <w:rPr>
                <w:rFonts w:hint="eastAsia" w:ascii="宋体" w:hAnsi="宋体" w:cs="宋体"/>
                <w:color w:val="000000"/>
                <w:szCs w:val="21"/>
                <w:highlight w:val="none"/>
              </w:rPr>
              <w:t>需承担供货时产品质量抽样检测的相关费用以及项目验收时发生的一切费用。</w:t>
            </w:r>
          </w:p>
        </w:tc>
      </w:tr>
      <w:tr w14:paraId="706C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461763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36" w:type="pct"/>
            <w:noWrap w:val="0"/>
            <w:vAlign w:val="center"/>
          </w:tcPr>
          <w:p w14:paraId="25EB1948">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27A59035">
            <w:pPr>
              <w:numPr>
                <w:ilvl w:val="0"/>
                <w:numId w:val="0"/>
              </w:numPr>
              <w:ind w:left="0" w:leftChars="0"/>
              <w:rPr>
                <w:rFonts w:hint="eastAsia" w:eastAsia="宋体"/>
                <w:highlight w:val="none"/>
                <w:lang w:val="en-US" w:eastAsia="zh-CN"/>
              </w:rPr>
            </w:pPr>
            <w:r>
              <w:rPr>
                <w:rFonts w:hint="eastAsia" w:eastAsia="宋体"/>
                <w:highlight w:val="none"/>
                <w:lang w:val="en-US" w:eastAsia="zh-CN"/>
              </w:rPr>
              <w:t>2、</w:t>
            </w:r>
            <w:r>
              <w:rPr>
                <w:rFonts w:hint="eastAsia"/>
                <w:highlight w:val="none"/>
                <w:lang w:val="en-US" w:eastAsia="zh-CN"/>
              </w:rPr>
              <w:t>供应商</w:t>
            </w:r>
            <w:r>
              <w:rPr>
                <w:rFonts w:hint="eastAsia" w:eastAsia="宋体"/>
                <w:highlight w:val="none"/>
                <w:lang w:val="en-US" w:eastAsia="zh-CN"/>
              </w:rPr>
              <w:t>负责送货上门、安装调试合格（不额外收费），须派出有相应资格的技术人员到现场负责安装调试，直至正常使用。按国家有关产品“三包”规定执行“三包”，以上产品必须是具备厂家合法渠道的。</w:t>
            </w:r>
          </w:p>
          <w:p w14:paraId="7B92F0F1">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3、在质保期内，如采购人发现货物存在质量问题，或采购人发现其他故障，供应商应在接到通知后的1小时内做出响应，并在24小时内进行处理。处理方式包括气体检验、更换气瓶等，确保用户的正常使用。</w:t>
            </w:r>
          </w:p>
          <w:p w14:paraId="7A39CFE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21C3F7EC">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需配备充足的全方面售后服务人员提供全天候服务；</w:t>
            </w:r>
          </w:p>
          <w:p w14:paraId="2C3E58FA">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5B0D6111">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r>
      <w:tr w14:paraId="02D4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5BCBB176">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36" w:type="pct"/>
            <w:noWrap w:val="0"/>
            <w:vAlign w:val="center"/>
          </w:tcPr>
          <w:p w14:paraId="0E3C1426">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w:t>
            </w:r>
            <w:r>
              <w:rPr>
                <w:rFonts w:hint="eastAsia"/>
                <w:highlight w:val="none"/>
                <w:lang w:val="en-US" w:eastAsia="zh-CN"/>
              </w:rPr>
              <w:t>每月结算一次。供应商</w:t>
            </w:r>
            <w:r>
              <w:rPr>
                <w:rFonts w:hint="default"/>
                <w:highlight w:val="none"/>
                <w:lang w:val="en-US" w:eastAsia="zh-CN"/>
              </w:rPr>
              <w:t>开具有效票据，并提供付款材料至采购人，采购人</w:t>
            </w:r>
            <w:r>
              <w:rPr>
                <w:rFonts w:hint="eastAsia"/>
                <w:highlight w:val="none"/>
                <w:lang w:val="en-US" w:eastAsia="zh-CN"/>
              </w:rPr>
              <w:t>在收到票据180天以后，</w:t>
            </w:r>
            <w:r>
              <w:rPr>
                <w:rFonts w:hint="default"/>
                <w:highlight w:val="none"/>
                <w:lang w:val="en-US" w:eastAsia="zh-CN"/>
              </w:rPr>
              <w:t>将上</w:t>
            </w:r>
            <w:r>
              <w:rPr>
                <w:rFonts w:hint="eastAsia"/>
                <w:highlight w:val="none"/>
                <w:lang w:val="en-US" w:eastAsia="zh-CN"/>
              </w:rPr>
              <w:t>月</w:t>
            </w:r>
            <w:r>
              <w:rPr>
                <w:rFonts w:hint="default"/>
                <w:highlight w:val="none"/>
                <w:lang w:val="en-US" w:eastAsia="zh-CN"/>
              </w:rPr>
              <w:t>费用汇至</w:t>
            </w:r>
            <w:r>
              <w:rPr>
                <w:rFonts w:hint="eastAsia"/>
                <w:highlight w:val="none"/>
                <w:lang w:val="en-US" w:eastAsia="zh-CN"/>
              </w:rPr>
              <w:t>供应商</w:t>
            </w:r>
            <w:r>
              <w:rPr>
                <w:rFonts w:hint="default"/>
                <w:highlight w:val="none"/>
                <w:lang w:val="en-US" w:eastAsia="zh-CN"/>
              </w:rPr>
              <w:t>指定账户。</w:t>
            </w:r>
          </w:p>
          <w:p w14:paraId="6F3700ED">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r>
    </w:tbl>
    <w:p w14:paraId="0B0D1030"/>
    <w:p w14:paraId="345361AE"/>
    <w:p w14:paraId="3A85AEAA"/>
    <w:p w14:paraId="1CF7E940"/>
    <w:p w14:paraId="3534EA72"/>
    <w:p w14:paraId="0B6996C3"/>
    <w:p w14:paraId="29AF9EC1"/>
    <w:p w14:paraId="6C101094"/>
    <w:p w14:paraId="7AE05B1A"/>
    <w:p w14:paraId="64198EBD"/>
    <w:p w14:paraId="4624A98F"/>
    <w:p w14:paraId="755E4852"/>
    <w:p w14:paraId="78BD7327"/>
    <w:p w14:paraId="29474D99"/>
    <w:p w14:paraId="5D8F4C6E"/>
    <w:p w14:paraId="4837FA81"/>
    <w:p w14:paraId="430C1052"/>
    <w:p w14:paraId="64DDCC71"/>
    <w:p w14:paraId="7CDB1BB0"/>
    <w:p w14:paraId="64E165A1"/>
    <w:p w14:paraId="565D4EA3"/>
    <w:p w14:paraId="3FE5A725"/>
    <w:p w14:paraId="027DAB88"/>
    <w:p w14:paraId="04DD7C54"/>
    <w:p w14:paraId="3A460590"/>
    <w:p w14:paraId="17A0BF92">
      <w:pPr>
        <w:jc w:val="center"/>
        <w:rPr>
          <w:rFonts w:hint="eastAsia"/>
          <w:sz w:val="28"/>
          <w:szCs w:val="28"/>
          <w:lang w:val="en-US" w:eastAsia="zh-CN"/>
        </w:rPr>
      </w:pPr>
      <w:r>
        <w:rPr>
          <w:rFonts w:hint="eastAsia"/>
          <w:sz w:val="28"/>
          <w:szCs w:val="28"/>
          <w:lang w:val="en-US" w:eastAsia="zh-CN"/>
        </w:rPr>
        <w:t>报价单</w:t>
      </w:r>
    </w:p>
    <w:p w14:paraId="4B73D583">
      <w:pPr>
        <w:jc w:val="center"/>
        <w:rPr>
          <w:rFonts w:hint="eastAsia"/>
          <w:sz w:val="28"/>
          <w:szCs w:val="28"/>
          <w:lang w:val="en-US" w:eastAsia="zh-CN"/>
        </w:rPr>
      </w:pPr>
    </w:p>
    <w:tbl>
      <w:tblPr>
        <w:tblStyle w:val="4"/>
        <w:tblW w:w="5118" w:type="pct"/>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1596"/>
        <w:gridCol w:w="804"/>
        <w:gridCol w:w="1404"/>
        <w:gridCol w:w="1428"/>
        <w:gridCol w:w="1584"/>
      </w:tblGrid>
      <w:tr w14:paraId="049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93" w:type="pct"/>
            <w:vMerge w:val="restart"/>
            <w:tcBorders>
              <w:top w:val="single" w:color="000000" w:sz="4" w:space="0"/>
              <w:left w:val="single" w:color="000000" w:sz="4" w:space="0"/>
              <w:right w:val="single" w:color="000000" w:sz="4" w:space="0"/>
            </w:tcBorders>
            <w:shd w:val="clear" w:color="auto" w:fill="auto"/>
            <w:vAlign w:val="center"/>
          </w:tcPr>
          <w:p w14:paraId="23B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914" w:type="pct"/>
            <w:vMerge w:val="restart"/>
            <w:tcBorders>
              <w:top w:val="single" w:color="000000" w:sz="4" w:space="0"/>
              <w:left w:val="single" w:color="000000" w:sz="4" w:space="0"/>
              <w:right w:val="single" w:color="000000" w:sz="4" w:space="0"/>
            </w:tcBorders>
            <w:shd w:val="clear" w:color="auto" w:fill="auto"/>
            <w:vAlign w:val="center"/>
          </w:tcPr>
          <w:p w14:paraId="47CB5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460" w:type="pct"/>
            <w:vMerge w:val="restart"/>
            <w:tcBorders>
              <w:top w:val="single" w:color="000000" w:sz="4" w:space="0"/>
              <w:left w:val="single" w:color="000000" w:sz="4" w:space="0"/>
              <w:right w:val="single" w:color="000000" w:sz="4" w:space="0"/>
            </w:tcBorders>
            <w:shd w:val="clear" w:color="auto" w:fill="auto"/>
            <w:vAlign w:val="center"/>
          </w:tcPr>
          <w:p w14:paraId="138B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04" w:type="pct"/>
            <w:vMerge w:val="restart"/>
            <w:tcBorders>
              <w:top w:val="single" w:color="000000" w:sz="4" w:space="0"/>
              <w:left w:val="single" w:color="000000" w:sz="4" w:space="0"/>
              <w:right w:val="single" w:color="000000" w:sz="4" w:space="0"/>
            </w:tcBorders>
            <w:shd w:val="clear" w:color="auto" w:fill="auto"/>
            <w:vAlign w:val="center"/>
          </w:tcPr>
          <w:p w14:paraId="5210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预估数量</w:t>
            </w:r>
          </w:p>
        </w:tc>
        <w:tc>
          <w:tcPr>
            <w:tcW w:w="1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59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供货单位报价情况</w:t>
            </w:r>
          </w:p>
        </w:tc>
      </w:tr>
      <w:tr w14:paraId="208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3" w:type="pct"/>
            <w:vMerge w:val="continue"/>
            <w:tcBorders>
              <w:left w:val="single" w:color="000000" w:sz="4" w:space="0"/>
              <w:bottom w:val="single" w:color="000000" w:sz="4" w:space="0"/>
              <w:right w:val="single" w:color="000000" w:sz="4" w:space="0"/>
            </w:tcBorders>
            <w:shd w:val="clear" w:color="auto" w:fill="auto"/>
            <w:vAlign w:val="center"/>
          </w:tcPr>
          <w:p w14:paraId="2A397066">
            <w:pPr>
              <w:keepNext w:val="0"/>
              <w:keepLines w:val="0"/>
              <w:widowControl/>
              <w:suppressLineNumbers w:val="0"/>
              <w:jc w:val="center"/>
              <w:textAlignment w:val="center"/>
              <w:rPr>
                <w:sz w:val="24"/>
                <w:szCs w:val="24"/>
              </w:rPr>
            </w:pPr>
          </w:p>
        </w:tc>
        <w:tc>
          <w:tcPr>
            <w:tcW w:w="914" w:type="pct"/>
            <w:vMerge w:val="continue"/>
            <w:tcBorders>
              <w:left w:val="single" w:color="000000" w:sz="4" w:space="0"/>
              <w:bottom w:val="single" w:color="000000" w:sz="4" w:space="0"/>
              <w:right w:val="single" w:color="000000" w:sz="4" w:space="0"/>
            </w:tcBorders>
            <w:shd w:val="clear" w:color="auto" w:fill="auto"/>
            <w:vAlign w:val="center"/>
          </w:tcPr>
          <w:p w14:paraId="558FF273">
            <w:pPr>
              <w:keepNext w:val="0"/>
              <w:keepLines w:val="0"/>
              <w:widowControl/>
              <w:suppressLineNumbers w:val="0"/>
              <w:jc w:val="center"/>
              <w:textAlignment w:val="center"/>
              <w:rPr>
                <w:sz w:val="24"/>
                <w:szCs w:val="24"/>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14:paraId="1675D37D">
            <w:pPr>
              <w:keepNext w:val="0"/>
              <w:keepLines w:val="0"/>
              <w:widowControl/>
              <w:suppressLineNumbers w:val="0"/>
              <w:jc w:val="center"/>
              <w:textAlignment w:val="center"/>
              <w:rPr>
                <w:sz w:val="24"/>
                <w:szCs w:val="24"/>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14:paraId="4DD907B9">
            <w:pPr>
              <w:keepNext w:val="0"/>
              <w:keepLines w:val="0"/>
              <w:widowControl/>
              <w:suppressLineNumbers w:val="0"/>
              <w:jc w:val="center"/>
              <w:textAlignment w:val="center"/>
              <w:rPr>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BCC">
            <w:pPr>
              <w:keepNext w:val="0"/>
              <w:keepLines w:val="0"/>
              <w:widowControl/>
              <w:suppressLineNumbers w:val="0"/>
              <w:jc w:val="center"/>
              <w:textAlignment w:val="center"/>
              <w:rPr>
                <w:rFonts w:hint="eastAsia"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单价（元）</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C8D">
            <w:pPr>
              <w:keepNext w:val="0"/>
              <w:keepLines w:val="0"/>
              <w:widowControl/>
              <w:suppressLineNumbers w:val="0"/>
              <w:jc w:val="center"/>
              <w:textAlignment w:val="center"/>
              <w:rPr>
                <w:rFonts w:hint="default"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小计（元）</w:t>
            </w:r>
          </w:p>
        </w:tc>
      </w:tr>
      <w:tr w14:paraId="0B0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医用氧气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04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B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58C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r>
      <w:tr w14:paraId="65C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10AB">
            <w:pPr>
              <w:jc w:val="center"/>
              <w:rPr>
                <w:rFonts w:hint="eastAsia" w:ascii="宋体" w:hAnsi="宋体" w:eastAsia="宋体" w:cs="宋体"/>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1D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0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B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43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高纯二氧化碳</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C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DA3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A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DF0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428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D3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4EE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D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77D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2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C5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CA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高纯乙炔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788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1瓶/瓶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8C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BB0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DD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F3D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w:t>
            </w:r>
            <w:r>
              <w:rPr>
                <w:rFonts w:hint="eastAsia" w:ascii="宋体" w:hAnsi="宋体" w:eastAsia="宋体" w:cs="宋体"/>
                <w:i w:val="0"/>
                <w:iCs w:val="0"/>
                <w:snapToGrid w:val="0"/>
                <w:color w:val="000000"/>
                <w:kern w:val="0"/>
                <w:sz w:val="24"/>
                <w:szCs w:val="24"/>
                <w:u w:val="none"/>
                <w:lang w:val="en-US" w:eastAsia="zh-CN" w:bidi="ar"/>
              </w:rPr>
              <w:t>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ADC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CC7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B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A9C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A922A">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合计（元）：</w:t>
            </w:r>
          </w:p>
        </w:tc>
      </w:tr>
    </w:tbl>
    <w:p w14:paraId="7B4BD9E5">
      <w:pPr>
        <w:jc w:val="center"/>
        <w:rPr>
          <w:rFonts w:hint="eastAsia" w:ascii="宋体" w:hAnsi="宋体" w:eastAsia="宋体" w:cs="宋体"/>
          <w:b w:val="0"/>
          <w:bCs w:val="0"/>
          <w:spacing w:val="3"/>
          <w:sz w:val="28"/>
          <w:szCs w:val="28"/>
          <w:lang w:val="en-US" w:eastAsia="zh-CN"/>
        </w:rPr>
      </w:pPr>
    </w:p>
    <w:p w14:paraId="641F2492">
      <w:pPr>
        <w:jc w:val="center"/>
        <w:rPr>
          <w:rFonts w:hint="eastAsia" w:ascii="宋体" w:hAnsi="宋体" w:eastAsia="宋体" w:cs="宋体"/>
          <w:b w:val="0"/>
          <w:bCs w:val="0"/>
          <w:spacing w:val="3"/>
          <w:sz w:val="28"/>
          <w:szCs w:val="28"/>
          <w:lang w:val="en-US" w:eastAsia="zh-CN"/>
        </w:rPr>
      </w:pPr>
    </w:p>
    <w:p w14:paraId="65AC790C">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333CE30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7B6"/>
    <w:rsid w:val="024940B9"/>
    <w:rsid w:val="02555ED9"/>
    <w:rsid w:val="02C24BF1"/>
    <w:rsid w:val="04A6217E"/>
    <w:rsid w:val="04DC643E"/>
    <w:rsid w:val="07EF6EEC"/>
    <w:rsid w:val="08AC25CB"/>
    <w:rsid w:val="098A7CA9"/>
    <w:rsid w:val="09EA33AB"/>
    <w:rsid w:val="0B5C2086"/>
    <w:rsid w:val="0B776EC0"/>
    <w:rsid w:val="0E525C0E"/>
    <w:rsid w:val="0E99714E"/>
    <w:rsid w:val="12747CB6"/>
    <w:rsid w:val="12B66520"/>
    <w:rsid w:val="144B0EEA"/>
    <w:rsid w:val="15B34F99"/>
    <w:rsid w:val="15D53161"/>
    <w:rsid w:val="16DC051F"/>
    <w:rsid w:val="17A10E21"/>
    <w:rsid w:val="1ACC4407"/>
    <w:rsid w:val="1BA710FC"/>
    <w:rsid w:val="1C3B444E"/>
    <w:rsid w:val="1CC21F65"/>
    <w:rsid w:val="1DD91315"/>
    <w:rsid w:val="200A2D0B"/>
    <w:rsid w:val="20547378"/>
    <w:rsid w:val="22477195"/>
    <w:rsid w:val="23A361A8"/>
    <w:rsid w:val="253B4A43"/>
    <w:rsid w:val="26F86CAF"/>
    <w:rsid w:val="28CD5F1A"/>
    <w:rsid w:val="29702DE9"/>
    <w:rsid w:val="2AB56C65"/>
    <w:rsid w:val="2B141BDE"/>
    <w:rsid w:val="2BAC62BA"/>
    <w:rsid w:val="2C7D37B3"/>
    <w:rsid w:val="2CB5192D"/>
    <w:rsid w:val="2DC0604D"/>
    <w:rsid w:val="30446AC1"/>
    <w:rsid w:val="30BB236C"/>
    <w:rsid w:val="3179279B"/>
    <w:rsid w:val="325454D5"/>
    <w:rsid w:val="32963820"/>
    <w:rsid w:val="32C739DA"/>
    <w:rsid w:val="336254B1"/>
    <w:rsid w:val="35DF6AED"/>
    <w:rsid w:val="361B6516"/>
    <w:rsid w:val="36B049E7"/>
    <w:rsid w:val="36CC2719"/>
    <w:rsid w:val="39753B47"/>
    <w:rsid w:val="3CBE5E4E"/>
    <w:rsid w:val="3CC30ABB"/>
    <w:rsid w:val="3D073351"/>
    <w:rsid w:val="406063CB"/>
    <w:rsid w:val="41B16C01"/>
    <w:rsid w:val="42A31D6D"/>
    <w:rsid w:val="43193DDE"/>
    <w:rsid w:val="43F263DD"/>
    <w:rsid w:val="460F6BF8"/>
    <w:rsid w:val="47664607"/>
    <w:rsid w:val="477737C9"/>
    <w:rsid w:val="4A090CB4"/>
    <w:rsid w:val="4A830F07"/>
    <w:rsid w:val="4B553E21"/>
    <w:rsid w:val="4F053468"/>
    <w:rsid w:val="4FFA4F97"/>
    <w:rsid w:val="50D852D8"/>
    <w:rsid w:val="529E43F7"/>
    <w:rsid w:val="53EB6C69"/>
    <w:rsid w:val="548D3FAE"/>
    <w:rsid w:val="55767EF4"/>
    <w:rsid w:val="573265F8"/>
    <w:rsid w:val="5A0013FC"/>
    <w:rsid w:val="5ABD72ED"/>
    <w:rsid w:val="5AFF7905"/>
    <w:rsid w:val="5C7419FB"/>
    <w:rsid w:val="5D964551"/>
    <w:rsid w:val="5F9525E6"/>
    <w:rsid w:val="603E3450"/>
    <w:rsid w:val="61016185"/>
    <w:rsid w:val="62516C98"/>
    <w:rsid w:val="62F85366"/>
    <w:rsid w:val="6587477F"/>
    <w:rsid w:val="65C43C25"/>
    <w:rsid w:val="66476E66"/>
    <w:rsid w:val="6712451C"/>
    <w:rsid w:val="67242BCD"/>
    <w:rsid w:val="673E5311"/>
    <w:rsid w:val="6817003C"/>
    <w:rsid w:val="68192AB9"/>
    <w:rsid w:val="693B41FE"/>
    <w:rsid w:val="6A5A6906"/>
    <w:rsid w:val="6CD20876"/>
    <w:rsid w:val="6E414065"/>
    <w:rsid w:val="6F3E43F7"/>
    <w:rsid w:val="709D754D"/>
    <w:rsid w:val="71CF0B0E"/>
    <w:rsid w:val="72011973"/>
    <w:rsid w:val="734E2EA1"/>
    <w:rsid w:val="73884E73"/>
    <w:rsid w:val="744228E5"/>
    <w:rsid w:val="74C23A26"/>
    <w:rsid w:val="76695453"/>
    <w:rsid w:val="77C21134"/>
    <w:rsid w:val="784C7BE1"/>
    <w:rsid w:val="7A356A48"/>
    <w:rsid w:val="7B113011"/>
    <w:rsid w:val="7B735A7A"/>
    <w:rsid w:val="7B8E4662"/>
    <w:rsid w:val="7B9D6653"/>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2487</Words>
  <Characters>2704</Characters>
  <Lines>0</Lines>
  <Paragraphs>0</Paragraphs>
  <TotalTime>3</TotalTime>
  <ScaleCrop>false</ScaleCrop>
  <LinksUpToDate>false</LinksUpToDate>
  <CharactersWithSpaces>2768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2025-05-25T04:38:00Z</dcterms:created>
  <dc:creator>Administrator</dc:creator>
  <cp:lastModifiedBy>大青虫</cp:lastModifiedBy>
  <dcterms:modified xsi:type="dcterms:W3CDTF">2025-06-30T03:55:39Z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eyJoZGlkIjoiZDE1M2UwN2VlNDg0YjhkMWQ5OTNiZGY1YjdhMWY1OWUiLCJ1c2VySWQiOiIyMTU3MTg1MDAifQ==</vt:lpwstr>
  </property>
  <property fmtid="{D5CDD505-2E9C-101B-9397-08002B2CF9AE}" pid="4" name="ICV">
    <vt:lpwstr>D0C9179716144F95B43AE77DAE7DA5DF_12</vt:lpwstr>
  </property>
</Properties>
</file>